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12" w:rsidRPr="00582D12" w:rsidRDefault="00582D12" w:rsidP="00582D12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Зачет </w:t>
      </w:r>
      <w:r w:rsidRPr="00582D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2D12">
        <w:rPr>
          <w:rFonts w:ascii="Times New Roman" w:hAnsi="Times New Roman" w:cs="Times New Roman"/>
          <w:sz w:val="28"/>
          <w:szCs w:val="28"/>
        </w:rPr>
        <w:t xml:space="preserve"> полугодие 10 класс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Восточные славяне в VI- VIII вв.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Древнерусское государство (IX-XII вв.).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Русские земли во второй половине XII-XIII в.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1.1. Основные периоды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VI-VIП вв. - первые упоминания о восточных славянах, племенные союзы, распад родовых отношений, переход к соседской общине, появление племенных князей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IX - первая половина ХН в. - Древнерусское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во с центром в Киеве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XII-XIII вв. - раздробленность русских земель, борьба с внешними нашествиями, установление зависимости от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Золо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той Орды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1.2. Ключевые даты и события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862 г. - призвание варягов (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Рюрик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и его сподвижники), их правление в Северо-Западной Руси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882 г. - объединение восточнославянских земель (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Новгоро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да и Киева) под властью князя Олега (годы правления 879-912)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907 г. - поход князя Олега на Константинополь, первый договор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941 г., 944 г. - походы князя Игоря на Константинополь,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945 г. - подписание договора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945 г. - восстание древлян, убийство Игоря (912-945)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957 г. - поездка княгини Ольги (правление в качестве ре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гентши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945-964) в Константинополь, крещение Ольги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964-972 гг. - правление князя Святослава: походы 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вя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тичей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, хазар (964-966), в Придунайскую Болгарию, разгром печенегов, война с Византией (968-971)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980-1015п. - правление князя Владимира: походы на вятичей, радимичей и др., заключение военного союза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988 г. - крещение Руси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1019-1054 п. - правление князя Ярослава: составление Русской Правды (Правда Ярослава), разгром печенегов,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соз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Киевской митрополии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l-я половина XI в. - сооружение Софийского собора и Золотых ворот в Киеве, храма Святой Софии в Новгороде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1097 г. - съезд русских князей в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Любече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(закреплено раз деление Руси на княжеские «отчины»)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1113-1125 гг. - правление Владимира Мономаха в Киеве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1147 г. - первое летописное упоминание о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1223 г. - битва на Калке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1237-1238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- нашествие войска хана Батыя 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-Восточную Русь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1238 – битва на реке Сити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1239 г. - поход монголо-татарских войск в южнорусские княжества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1240 г. - Невская битва (Александр Ярославич Невский, в1252-1263 гг. великий князь Владимирский)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- осада и взятие Киева войском Батыя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1242 г. - Ледовое побоище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1.3. Основные понятия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Племя Язычество. Христианство, православие, крещение,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митропо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лит. Мозаика, фреска. Славянская письменность, глаголица,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риллица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(Кирилл и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). Летопись. Норманнская теория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Вече. Варяги. Князь. Дружина. Вотчина. Смерд, рядович, закуп, холоп, челядь, изгой. Оброк, полюдье. Десятина. Вира. Путь «из варяг в греки» Политическая раздробленность (феодальная раздробленность). Золотая Орда. Баскак. Ярлык на великое княжение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Исторнческне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источники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Русская Правда (Правда Ярослава, Правда Ярославичей  1030-е - 1070-е гг.), «Повесть временных лет» (Нестор, 1113 -1118), «Поучение Владимира Мономаха», «Слово о полке Игореве» (конец ХII в.):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Русь, Россия в XIV- начале ХVII в. Образование и укрепление Российского централизованного государства. Смута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1.1. Основные периоды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 xml:space="preserve">Конец XIП - l-я половина XIV в. ~ усиление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Москов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княжества, начало расширения земельных владений московских князей, соперничество между Москвой и Тверью за главенство в Северо-Восточной Руси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2-я половина XIV - начало XV в. - утверждение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главен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Москвы как центра русских земель, организация борьбы за независимость от Золотой Орды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2-я четверть XV в. - борьба за власть в Великом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княже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стве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Московском (феодальная война)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2-ая половина XV - l-я треть XVI в. - завершение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объе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динения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русских земель вокруг Москвы, образование Российского государства, Иван III - «Государь всея Руси»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XVI в. - расширение территории и укрепление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Российско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го государства, становление российского самодержавия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Начало XVII в. - Смутное время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1.2. Ключевые даты и события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Конец XIII- XIV в.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1276 г. - образование самостоятельного Московского княжества, начало княжения в Москве Даниила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Александро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(1276-1303), основателя династии московских князей (младшего сына Александра Невского)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1303-1325 г. - княжение в Москве Юрия Даниловича (первым из Московских князей получил в Орде ярлык 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ликое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княжение)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1318-1340 гг. - борьба тверских и московских князей за ярлык на великое княжение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1325-1340 гг. - княжение в Москве Ивана Даниловича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(с 1328 г. - великий князь)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1326 г. - перенесение престола митрополита из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Владими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в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1359-1389 гг. - княжение в Москве Дмитрия Ивановича ДOНCKOГO (с 1362 г. - великий князь)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1378 г. - сражение на р.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Воже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, первая крупная победа рус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отрядов (во главе с князем Дмитрием Ивановичем) над ордынским войском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1380 г. - Куликовская битва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1382 г. - поход хана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на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ХУв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 xml:space="preserve">1389-1425 гг. - великое московское княжение Василия Дмитриевича, - объединение Великого княжества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Владимирскoro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и Московского княжества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1425-1453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- борьба за власть в Великом Московском княжестве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1462-1505 гг. - княжение великого князя Ивана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1463 г. - присоединение Ярославского княжества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1471 г. - поход Ивана III на Великий Новгород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1474 г. - присоединение к Москве земель Ростовского княжества, купленных Иваном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1478 г. - ликвидация Новгородской республики,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присое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динение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ее земель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1480 г. - «стояние» на р. Угре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1485 г. - присоединение Тверского княжества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1497 г. - введение общегосударственного свода законов Судебника Ивана III, установление единого срока перехода крестьян (Юрьева дня)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1-я половина XV в. - строительство Успенского и Благо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вещенского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соборов,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Грановитой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палаты, стен и башен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Кремля (Аристотель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Фиораванти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XVI в.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1505-1533 гг. - правление Василия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1533-1584 гг. - правление Ивана IV (1547 г. – венчание Ивана IV на царство)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1547-1560 гг. - деятельность Избранной рады (А.Ф.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Адашев,А.М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. Курбский,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Сильвестр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1549 г. - созыв первого Земского собора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1550 г. - принятие Судебника Ивана IV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1551 г. - собор Русской православной церкви (Стоглавый)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1552 г. - завоевание Казанского ханства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1556 г. - присоединение Астраханского ханства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1557 г. - вхождение Башкирии в состав Российского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дарства</w:t>
      </w:r>
      <w:proofErr w:type="spellEnd"/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1558-1583 гг. - Ливонская война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1565-1572 гг. - проведение опричной политики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1569-1570гг. - поход опричного войска на Новгород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1571 г., 1572 г. - набеги крымского хана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Девлет-Гирея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на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1580-1590-е гг. - завоевание Восточной Сибири (Ермак Тимофеевич)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1581 г. - первый запрет перехода крестьян в Юрьев день (введение заповедных лет)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1584-1598 гг. - царствование Федора Ивановича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1589 г. - учреждение патриаршества в России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1597 г. - указ об урочных летах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Конец XVI - начало XV11 в. Смута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1598-1605 ГГ. - царствование Бориса Годунова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1604-1618 гг. -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польско-литовско-шведская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интервенции в Россию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1605-1606 гг. - правление Лжедмитрия 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1606-1610 гг. - правление Василия Шуйского 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1606-1607 ГГ. - восстание под предводительством Ивана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1608-1610 гг. - борьба Лжедмитрия II за власть 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1610-1613 гг. - правление Боярской думы («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семибоярщи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на»)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1611-1612 гг. - первое и второе ополчения против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вентов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(П. Ляпунов, Д. Пожарский, К. Минин)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1613 г. - избрание Земским собором на российский пре стол Михаила Романова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1617 г. -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Столбовский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мир России со Швецией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1618 г. -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Деулинское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перемирие России с Речью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Посло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литой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1.3. Основные понятия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Вотчина, поместье. Барщина, оброк,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ловаз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. Пожилое,1 Юрьев день, заповедные лета, урочные лета. Крепостное право. Посад, слобода, белая слобода. Судебник. Царь. Избранная рада. Приказ, дьяк. Местничество, кормление. Боярская дума. Земский собор. Стрельцы. Опричнина, земщина. «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Угличское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дело». Крестоцеловальная запись.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582D12">
        <w:rPr>
          <w:rFonts w:ascii="Times New Roman" w:hAnsi="Times New Roman" w:cs="Times New Roman"/>
          <w:sz w:val="28"/>
          <w:szCs w:val="28"/>
        </w:rPr>
        <w:lastRenderedPageBreak/>
        <w:t>Нестяжатели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, иосифляне. Ересь.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1.4. Исторические источники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Былины. «Повесть о разорении Рязани Батыем», «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Задон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», «Сказание о Мамаевом побоище».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«Хождение за три моря» А. Никитина.</w:t>
      </w:r>
    </w:p>
    <w:p w:rsidR="00AB695F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«Апостол»,  «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Четьи-Минеи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». «Домострой».</w:t>
      </w:r>
    </w:p>
    <w:sectPr w:rsidR="00AB695F" w:rsidRPr="00582D12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582D12"/>
    <w:rsid w:val="000B49EB"/>
    <w:rsid w:val="002D3A0B"/>
    <w:rsid w:val="00355D8D"/>
    <w:rsid w:val="00365707"/>
    <w:rsid w:val="00582D12"/>
    <w:rsid w:val="006708E2"/>
    <w:rsid w:val="00A91334"/>
    <w:rsid w:val="00AB695F"/>
    <w:rsid w:val="00C0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1141</Words>
  <Characters>6504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2014-12-02T15:16:00Z</dcterms:created>
  <dcterms:modified xsi:type="dcterms:W3CDTF">2014-12-02T15:20:00Z</dcterms:modified>
</cp:coreProperties>
</file>